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1A2529" w:rsidRPr="00870565" w:rsidRDefault="004778F4" w:rsidP="00870565">
      <w:pPr>
        <w:spacing w:line="480" w:lineRule="auto"/>
        <w:jc w:val="center"/>
        <w:rPr>
          <w:rFonts w:ascii="Times New Roman" w:hAnsi="Times New Roman" w:cs="Times New Roman"/>
          <w:sz w:val="24"/>
          <w:szCs w:val="24"/>
        </w:rPr>
      </w:pPr>
      <w:r w:rsidRPr="00870565">
        <w:rPr>
          <w:rFonts w:ascii="Times New Roman" w:hAnsi="Times New Roman" w:cs="Times New Roman"/>
          <w:sz w:val="24"/>
          <w:szCs w:val="24"/>
        </w:rPr>
        <w:t xml:space="preserve">The Reliability of and Validity of Assessing </w:t>
      </w:r>
      <w:r w:rsidR="0008325A" w:rsidRPr="00870565">
        <w:rPr>
          <w:rFonts w:ascii="Times New Roman" w:hAnsi="Times New Roman" w:cs="Times New Roman"/>
          <w:sz w:val="24"/>
          <w:szCs w:val="24"/>
        </w:rPr>
        <w:t>Traumatic Brain Injury</w:t>
      </w:r>
    </w:p>
    <w:p w:rsidR="004778F4" w:rsidRPr="00870565" w:rsidRDefault="004778F4" w:rsidP="00870565">
      <w:pPr>
        <w:spacing w:line="480" w:lineRule="auto"/>
        <w:jc w:val="center"/>
        <w:rPr>
          <w:rFonts w:ascii="Times New Roman" w:hAnsi="Times New Roman" w:cs="Times New Roman"/>
          <w:sz w:val="24"/>
          <w:szCs w:val="24"/>
        </w:rPr>
      </w:pPr>
      <w:r w:rsidRPr="00870565">
        <w:rPr>
          <w:rFonts w:ascii="Times New Roman" w:hAnsi="Times New Roman" w:cs="Times New Roman"/>
          <w:sz w:val="24"/>
          <w:szCs w:val="24"/>
        </w:rPr>
        <w:t>Student’s Name</w:t>
      </w:r>
    </w:p>
    <w:p w:rsidR="004778F4" w:rsidRPr="00870565" w:rsidRDefault="00064BE2" w:rsidP="00870565">
      <w:pPr>
        <w:tabs>
          <w:tab w:val="center" w:pos="4680"/>
          <w:tab w:val="left" w:pos="7215"/>
        </w:tabs>
        <w:spacing w:line="480" w:lineRule="auto"/>
        <w:rPr>
          <w:rFonts w:ascii="Times New Roman" w:hAnsi="Times New Roman" w:cs="Times New Roman"/>
          <w:sz w:val="24"/>
          <w:szCs w:val="24"/>
        </w:rPr>
      </w:pPr>
      <w:r w:rsidRPr="00870565">
        <w:rPr>
          <w:rFonts w:ascii="Times New Roman" w:hAnsi="Times New Roman" w:cs="Times New Roman"/>
          <w:sz w:val="24"/>
          <w:szCs w:val="24"/>
        </w:rPr>
        <w:tab/>
      </w:r>
      <w:r w:rsidR="004778F4" w:rsidRPr="00870565">
        <w:rPr>
          <w:rFonts w:ascii="Times New Roman" w:hAnsi="Times New Roman" w:cs="Times New Roman"/>
          <w:sz w:val="24"/>
          <w:szCs w:val="24"/>
        </w:rPr>
        <w:t>Institutional Affiliation</w:t>
      </w:r>
      <w:r w:rsidRPr="00870565">
        <w:rPr>
          <w:rFonts w:ascii="Times New Roman" w:hAnsi="Times New Roman" w:cs="Times New Roman"/>
          <w:sz w:val="24"/>
          <w:szCs w:val="24"/>
        </w:rPr>
        <w:tab/>
      </w:r>
    </w:p>
    <w:p w:rsidR="004778F4" w:rsidRPr="00870565" w:rsidRDefault="004778F4"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p>
    <w:p w:rsidR="00071FE3" w:rsidRPr="00870565" w:rsidRDefault="00071FE3" w:rsidP="00870565">
      <w:pPr>
        <w:spacing w:line="480" w:lineRule="auto"/>
        <w:jc w:val="center"/>
        <w:rPr>
          <w:rFonts w:ascii="Times New Roman" w:hAnsi="Times New Roman" w:cs="Times New Roman"/>
          <w:sz w:val="24"/>
          <w:szCs w:val="24"/>
        </w:rPr>
      </w:pPr>
      <w:r w:rsidRPr="00870565">
        <w:rPr>
          <w:rFonts w:ascii="Times New Roman" w:hAnsi="Times New Roman" w:cs="Times New Roman"/>
          <w:sz w:val="24"/>
          <w:szCs w:val="24"/>
        </w:rPr>
        <w:lastRenderedPageBreak/>
        <w:t>The Reliability of and Validity of Assessing Traumatic Brain Injury</w:t>
      </w:r>
    </w:p>
    <w:p w:rsidR="000E5AFB" w:rsidRPr="00870565" w:rsidRDefault="000E5AFB" w:rsidP="00870565">
      <w:pPr>
        <w:tabs>
          <w:tab w:val="left" w:pos="3030"/>
        </w:tabs>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 xml:space="preserve">Traumatic brain injury (TBI) is the leading cause of death among </w:t>
      </w:r>
      <w:r w:rsidR="00E7373C" w:rsidRPr="00870565">
        <w:rPr>
          <w:rFonts w:ascii="Times New Roman" w:hAnsi="Times New Roman" w:cs="Times New Roman"/>
          <w:sz w:val="24"/>
          <w:szCs w:val="24"/>
        </w:rPr>
        <w:t>injured individuals;</w:t>
      </w:r>
      <w:r w:rsidRPr="00870565">
        <w:rPr>
          <w:rFonts w:ascii="Times New Roman" w:hAnsi="Times New Roman" w:cs="Times New Roman"/>
          <w:sz w:val="24"/>
          <w:szCs w:val="24"/>
        </w:rPr>
        <w:t xml:space="preserve"> </w:t>
      </w:r>
      <w:r w:rsidR="00E7373C" w:rsidRPr="00870565">
        <w:rPr>
          <w:rFonts w:ascii="Times New Roman" w:hAnsi="Times New Roman" w:cs="Times New Roman"/>
          <w:sz w:val="24"/>
          <w:szCs w:val="24"/>
        </w:rPr>
        <w:t>responsible for more</w:t>
      </w:r>
      <w:r w:rsidRPr="00870565">
        <w:rPr>
          <w:rFonts w:ascii="Times New Roman" w:hAnsi="Times New Roman" w:cs="Times New Roman"/>
          <w:sz w:val="24"/>
          <w:szCs w:val="24"/>
        </w:rPr>
        <w:t xml:space="preserve"> than 50</w:t>
      </w:r>
      <w:r w:rsidR="00E7373C" w:rsidRPr="00870565">
        <w:rPr>
          <w:rFonts w:ascii="Times New Roman" w:hAnsi="Times New Roman" w:cs="Times New Roman"/>
          <w:sz w:val="24"/>
          <w:szCs w:val="24"/>
        </w:rPr>
        <w:t>,000 deaths in the U.S. alone</w:t>
      </w:r>
      <w:r w:rsidRPr="00870565">
        <w:rPr>
          <w:rFonts w:ascii="Times New Roman" w:hAnsi="Times New Roman" w:cs="Times New Roman"/>
          <w:sz w:val="24"/>
          <w:szCs w:val="24"/>
        </w:rPr>
        <w:t xml:space="preserve"> each year.</w:t>
      </w:r>
      <w:r w:rsidR="00BF178F" w:rsidRPr="00870565">
        <w:rPr>
          <w:rFonts w:ascii="Times New Roman" w:hAnsi="Times New Roman" w:cs="Times New Roman"/>
          <w:sz w:val="24"/>
          <w:szCs w:val="24"/>
        </w:rPr>
        <w:t xml:space="preserve"> On the same note, over two million people suffer traumatic brain injury in the United States every year (</w:t>
      </w:r>
      <w:proofErr w:type="spellStart"/>
      <w:r w:rsidR="00BF178F" w:rsidRPr="00870565">
        <w:rPr>
          <w:rFonts w:ascii="Times New Roman" w:hAnsi="Times New Roman" w:cs="Times New Roman"/>
          <w:sz w:val="24"/>
          <w:szCs w:val="24"/>
        </w:rPr>
        <w:t>Juengst</w:t>
      </w:r>
      <w:proofErr w:type="spellEnd"/>
      <w:r w:rsidR="00BF178F" w:rsidRPr="00870565">
        <w:rPr>
          <w:rFonts w:ascii="Times New Roman" w:hAnsi="Times New Roman" w:cs="Times New Roman"/>
          <w:sz w:val="24"/>
          <w:szCs w:val="24"/>
        </w:rPr>
        <w:t xml:space="preserve">, </w:t>
      </w:r>
      <w:proofErr w:type="spellStart"/>
      <w:r w:rsidR="00BF178F" w:rsidRPr="00870565">
        <w:rPr>
          <w:rFonts w:ascii="Times New Roman" w:hAnsi="Times New Roman" w:cs="Times New Roman"/>
          <w:sz w:val="24"/>
          <w:szCs w:val="24"/>
        </w:rPr>
        <w:t>Myrga</w:t>
      </w:r>
      <w:proofErr w:type="spellEnd"/>
      <w:r w:rsidR="00BF178F" w:rsidRPr="00870565">
        <w:rPr>
          <w:rFonts w:ascii="Times New Roman" w:hAnsi="Times New Roman" w:cs="Times New Roman"/>
          <w:sz w:val="24"/>
          <w:szCs w:val="24"/>
        </w:rPr>
        <w:t xml:space="preserve">, </w:t>
      </w:r>
      <w:proofErr w:type="spellStart"/>
      <w:r w:rsidR="00BF178F" w:rsidRPr="00870565">
        <w:rPr>
          <w:rFonts w:ascii="Times New Roman" w:hAnsi="Times New Roman" w:cs="Times New Roman"/>
          <w:sz w:val="24"/>
          <w:szCs w:val="24"/>
        </w:rPr>
        <w:t>Fann</w:t>
      </w:r>
      <w:proofErr w:type="spellEnd"/>
      <w:r w:rsidR="00BF178F" w:rsidRPr="00870565">
        <w:rPr>
          <w:rFonts w:ascii="Times New Roman" w:hAnsi="Times New Roman" w:cs="Times New Roman"/>
          <w:sz w:val="24"/>
          <w:szCs w:val="24"/>
        </w:rPr>
        <w:t xml:space="preserve"> &amp; Wagner, 2017).</w:t>
      </w:r>
      <w:r w:rsidR="007F1FA9" w:rsidRPr="00870565">
        <w:rPr>
          <w:rFonts w:ascii="Times New Roman" w:hAnsi="Times New Roman" w:cs="Times New Roman"/>
          <w:sz w:val="24"/>
          <w:szCs w:val="24"/>
        </w:rPr>
        <w:t xml:space="preserve"> It has a wide range of risk factors cutting across all demographics. </w:t>
      </w:r>
      <w:r w:rsidRPr="00870565">
        <w:rPr>
          <w:rFonts w:ascii="Times New Roman" w:hAnsi="Times New Roman" w:cs="Times New Roman"/>
          <w:sz w:val="24"/>
          <w:szCs w:val="24"/>
        </w:rPr>
        <w:t xml:space="preserve"> </w:t>
      </w:r>
      <w:r w:rsidR="007F1FA9" w:rsidRPr="00870565">
        <w:rPr>
          <w:rFonts w:ascii="Times New Roman" w:hAnsi="Times New Roman" w:cs="Times New Roman"/>
          <w:sz w:val="24"/>
          <w:szCs w:val="24"/>
        </w:rPr>
        <w:t xml:space="preserve">This paper explores the reliability and validity of assessments related to traumatic brain injury. </w:t>
      </w:r>
    </w:p>
    <w:p w:rsidR="00270A1A" w:rsidRPr="00870565" w:rsidRDefault="009D1C2D" w:rsidP="00870565">
      <w:pPr>
        <w:spacing w:line="480" w:lineRule="auto"/>
        <w:jc w:val="center"/>
        <w:rPr>
          <w:rFonts w:ascii="Times New Roman" w:hAnsi="Times New Roman" w:cs="Times New Roman"/>
          <w:b/>
          <w:sz w:val="24"/>
          <w:szCs w:val="24"/>
        </w:rPr>
      </w:pPr>
      <w:r w:rsidRPr="00870565">
        <w:rPr>
          <w:rFonts w:ascii="Times New Roman" w:hAnsi="Times New Roman" w:cs="Times New Roman"/>
          <w:b/>
          <w:sz w:val="24"/>
          <w:szCs w:val="24"/>
        </w:rPr>
        <w:t>Identifying Information</w:t>
      </w:r>
    </w:p>
    <w:p w:rsidR="009D1C2D" w:rsidRPr="00870565" w:rsidRDefault="0008325A"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Traumatic brain injury refers to a brain injury that results from an external physical impact to the head</w:t>
      </w:r>
      <w:r w:rsidR="002306CD" w:rsidRPr="00870565">
        <w:rPr>
          <w:rFonts w:ascii="Times New Roman" w:hAnsi="Times New Roman" w:cs="Times New Roman"/>
          <w:sz w:val="24"/>
          <w:szCs w:val="24"/>
        </w:rPr>
        <w:t xml:space="preserve"> or other causes that cause the displacement of the brain within the skull</w:t>
      </w:r>
      <w:r w:rsidRPr="00870565">
        <w:rPr>
          <w:rFonts w:ascii="Times New Roman" w:hAnsi="Times New Roman" w:cs="Times New Roman"/>
          <w:sz w:val="24"/>
          <w:szCs w:val="24"/>
        </w:rPr>
        <w:t xml:space="preserve">; which takes a non-degenerative form. </w:t>
      </w:r>
      <w:r w:rsidR="002306CD" w:rsidRPr="00870565">
        <w:rPr>
          <w:rFonts w:ascii="Times New Roman" w:hAnsi="Times New Roman" w:cs="Times New Roman"/>
          <w:sz w:val="24"/>
          <w:szCs w:val="24"/>
        </w:rPr>
        <w:t>This condition is associated with various characteristics including, but not limited to memory disturbances, confusion, neurological signs, and changes in consciousness levels</w:t>
      </w:r>
      <w:r w:rsidR="000A0DF6" w:rsidRPr="00870565">
        <w:rPr>
          <w:rFonts w:ascii="Times New Roman" w:hAnsi="Times New Roman" w:cs="Times New Roman"/>
          <w:sz w:val="24"/>
          <w:szCs w:val="24"/>
        </w:rPr>
        <w:t xml:space="preserve"> (In </w:t>
      </w:r>
      <w:proofErr w:type="spellStart"/>
      <w:r w:rsidR="000A0DF6" w:rsidRPr="00870565">
        <w:rPr>
          <w:rFonts w:ascii="Times New Roman" w:hAnsi="Times New Roman" w:cs="Times New Roman"/>
          <w:sz w:val="24"/>
          <w:szCs w:val="24"/>
        </w:rPr>
        <w:t>Zollma</w:t>
      </w:r>
      <w:r w:rsidR="007B7270" w:rsidRPr="00870565">
        <w:rPr>
          <w:rFonts w:ascii="Times New Roman" w:hAnsi="Times New Roman" w:cs="Times New Roman"/>
          <w:sz w:val="24"/>
          <w:szCs w:val="24"/>
        </w:rPr>
        <w:t>n</w:t>
      </w:r>
      <w:proofErr w:type="spellEnd"/>
      <w:r w:rsidR="007B7270" w:rsidRPr="00870565">
        <w:rPr>
          <w:rFonts w:ascii="Times New Roman" w:hAnsi="Times New Roman" w:cs="Times New Roman"/>
          <w:sz w:val="24"/>
          <w:szCs w:val="24"/>
        </w:rPr>
        <w:t>, 2016)</w:t>
      </w:r>
      <w:r w:rsidR="002306CD" w:rsidRPr="00870565">
        <w:rPr>
          <w:rFonts w:ascii="Times New Roman" w:hAnsi="Times New Roman" w:cs="Times New Roman"/>
          <w:sz w:val="24"/>
          <w:szCs w:val="24"/>
        </w:rPr>
        <w:t>. Depending on the nature of the injury, the severity of confusion, the period of unconsciousness, and post-traumatic amnesia; traumatic brain injury can be categorized as severe, moderate, or mild</w:t>
      </w:r>
      <w:r w:rsidR="00376276">
        <w:rPr>
          <w:rFonts w:ascii="Times New Roman" w:hAnsi="Times New Roman" w:cs="Times New Roman"/>
          <w:sz w:val="24"/>
          <w:szCs w:val="24"/>
        </w:rPr>
        <w:t xml:space="preserve"> </w:t>
      </w:r>
      <w:r w:rsidR="00376276" w:rsidRPr="00376276">
        <w:rPr>
          <w:rFonts w:ascii="Times New Roman" w:hAnsi="Times New Roman" w:cs="Times New Roman"/>
          <w:i/>
          <w:sz w:val="24"/>
          <w:szCs w:val="24"/>
        </w:rPr>
        <w:t>(</w:t>
      </w:r>
      <w:r w:rsidR="00376276" w:rsidRPr="00376276">
        <w:rPr>
          <w:rStyle w:val="HTMLCite"/>
          <w:rFonts w:ascii="Times New Roman" w:hAnsi="Times New Roman" w:cs="Times New Roman"/>
          <w:i w:val="0"/>
          <w:sz w:val="24"/>
          <w:szCs w:val="24"/>
        </w:rPr>
        <w:t>Turner-Stokes</w:t>
      </w:r>
      <w:r w:rsidR="00376276" w:rsidRPr="00376276">
        <w:rPr>
          <w:rStyle w:val="HTMLCite"/>
          <w:rFonts w:ascii="Times New Roman" w:hAnsi="Times New Roman" w:cs="Times New Roman"/>
          <w:i w:val="0"/>
          <w:sz w:val="24"/>
          <w:szCs w:val="24"/>
        </w:rPr>
        <w:t>, 2015)</w:t>
      </w:r>
      <w:r w:rsidR="00170B85" w:rsidRPr="00376276">
        <w:rPr>
          <w:rFonts w:ascii="Times New Roman" w:hAnsi="Times New Roman" w:cs="Times New Roman"/>
          <w:i/>
          <w:sz w:val="24"/>
          <w:szCs w:val="24"/>
        </w:rPr>
        <w:t>.</w:t>
      </w:r>
      <w:r w:rsidR="002306CD" w:rsidRPr="00870565">
        <w:rPr>
          <w:rFonts w:ascii="Times New Roman" w:hAnsi="Times New Roman" w:cs="Times New Roman"/>
          <w:sz w:val="24"/>
          <w:szCs w:val="24"/>
        </w:rPr>
        <w:t xml:space="preserve"> </w:t>
      </w:r>
    </w:p>
    <w:p w:rsidR="009D1C2D" w:rsidRPr="00870565" w:rsidRDefault="009D1C2D" w:rsidP="00870565">
      <w:pPr>
        <w:spacing w:line="480" w:lineRule="auto"/>
        <w:jc w:val="center"/>
        <w:rPr>
          <w:rFonts w:ascii="Times New Roman" w:hAnsi="Times New Roman" w:cs="Times New Roman"/>
          <w:b/>
          <w:sz w:val="24"/>
          <w:szCs w:val="24"/>
        </w:rPr>
      </w:pPr>
      <w:r w:rsidRPr="00870565">
        <w:rPr>
          <w:rFonts w:ascii="Times New Roman" w:hAnsi="Times New Roman" w:cs="Times New Roman"/>
          <w:b/>
          <w:sz w:val="24"/>
          <w:szCs w:val="24"/>
        </w:rPr>
        <w:t>Assessment &amp; Diagnosis</w:t>
      </w:r>
    </w:p>
    <w:p w:rsidR="009D1C2D" w:rsidRPr="00870565" w:rsidRDefault="003A6711"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 xml:space="preserve">TBI assessments result in comprehensive diagnoses of speech, cognitive-communication, language, voice, and swallowing disorder. They also result in a description of the severity of the disorder(s), prognosis for change, recommendation for intervention, and referral for other assessments or services.  </w:t>
      </w:r>
      <w:r w:rsidR="003F56CA" w:rsidRPr="00870565">
        <w:rPr>
          <w:rFonts w:ascii="Times New Roman" w:hAnsi="Times New Roman" w:cs="Times New Roman"/>
          <w:sz w:val="24"/>
          <w:szCs w:val="24"/>
        </w:rPr>
        <w:t xml:space="preserve">Assessing TBIs is an intricate set of procedures which includes screening, cognitive-communication assessment, swallowing assessment, </w:t>
      </w:r>
      <w:proofErr w:type="spellStart"/>
      <w:r w:rsidRPr="00870565">
        <w:rPr>
          <w:rFonts w:ascii="Times New Roman" w:hAnsi="Times New Roman" w:cs="Times New Roman"/>
          <w:sz w:val="24"/>
          <w:szCs w:val="24"/>
        </w:rPr>
        <w:t>audiologic</w:t>
      </w:r>
      <w:proofErr w:type="spellEnd"/>
      <w:r w:rsidR="003F56CA" w:rsidRPr="00870565">
        <w:rPr>
          <w:rFonts w:ascii="Times New Roman" w:hAnsi="Times New Roman" w:cs="Times New Roman"/>
          <w:sz w:val="24"/>
          <w:szCs w:val="24"/>
        </w:rPr>
        <w:t xml:space="preserve"> and vestibular assessment. </w:t>
      </w:r>
    </w:p>
    <w:p w:rsidR="003A6711" w:rsidRPr="00870565" w:rsidRDefault="00D47F1C"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lastRenderedPageBreak/>
        <w:t>With regard to their reliability and validity, these assessments</w:t>
      </w:r>
      <w:r w:rsidR="00AC44F4" w:rsidRPr="00870565">
        <w:rPr>
          <w:rFonts w:ascii="Times New Roman" w:hAnsi="Times New Roman" w:cs="Times New Roman"/>
          <w:sz w:val="24"/>
          <w:szCs w:val="24"/>
        </w:rPr>
        <w:t xml:space="preserve"> are reliable and valid. The reason behind this is that traumatic brain injury affects the brain; and the sign manifest in the core functions of the brain such as communication. </w:t>
      </w:r>
      <w:r w:rsidR="00A448BA" w:rsidRPr="00870565">
        <w:rPr>
          <w:rFonts w:ascii="Times New Roman" w:hAnsi="Times New Roman" w:cs="Times New Roman"/>
          <w:sz w:val="24"/>
          <w:szCs w:val="24"/>
        </w:rPr>
        <w:t xml:space="preserve">These assessments target the ability of the brain to execute these core functions, and this presents a tremendous opportunity towards diagnosing TBI. </w:t>
      </w:r>
    </w:p>
    <w:p w:rsidR="009D1C2D" w:rsidRPr="00870565" w:rsidRDefault="009D1C2D" w:rsidP="00870565">
      <w:pPr>
        <w:spacing w:line="480" w:lineRule="auto"/>
        <w:jc w:val="center"/>
        <w:rPr>
          <w:rFonts w:ascii="Times New Roman" w:hAnsi="Times New Roman" w:cs="Times New Roman"/>
          <w:b/>
          <w:sz w:val="24"/>
          <w:szCs w:val="24"/>
        </w:rPr>
      </w:pPr>
      <w:r w:rsidRPr="00870565">
        <w:rPr>
          <w:rFonts w:ascii="Times New Roman" w:hAnsi="Times New Roman" w:cs="Times New Roman"/>
          <w:b/>
          <w:sz w:val="24"/>
          <w:szCs w:val="24"/>
        </w:rPr>
        <w:t>Treatment</w:t>
      </w:r>
    </w:p>
    <w:p w:rsidR="00D47F1C" w:rsidRPr="00870565" w:rsidRDefault="008863B3"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 xml:space="preserve">The treatment of traumatic brain injury (TBI) focuses on achieving the highest </w:t>
      </w:r>
      <w:r w:rsidR="00DD55DA" w:rsidRPr="00870565">
        <w:rPr>
          <w:rFonts w:ascii="Times New Roman" w:hAnsi="Times New Roman" w:cs="Times New Roman"/>
          <w:sz w:val="24"/>
          <w:szCs w:val="24"/>
        </w:rPr>
        <w:t xml:space="preserve">level of independent function for an individual to participate in day-to-day living. </w:t>
      </w:r>
      <w:r w:rsidR="00D47F1C" w:rsidRPr="00870565">
        <w:rPr>
          <w:rFonts w:ascii="Times New Roman" w:hAnsi="Times New Roman" w:cs="Times New Roman"/>
          <w:sz w:val="24"/>
          <w:szCs w:val="24"/>
        </w:rPr>
        <w:t xml:space="preserve">First and foremost, cognitive-communication treatment aims at either compensating for insufficiencies or the restoration of skills. </w:t>
      </w:r>
      <w:r w:rsidR="00C81FD5" w:rsidRPr="00870565">
        <w:rPr>
          <w:rFonts w:ascii="Times New Roman" w:hAnsi="Times New Roman" w:cs="Times New Roman"/>
          <w:sz w:val="24"/>
          <w:szCs w:val="24"/>
        </w:rPr>
        <w:t xml:space="preserve">Professionals helping patients can either train their basic skills to develop complex processing ability, or follow the top-down approach which involves training complex skills to bolster causal basic skills. </w:t>
      </w:r>
    </w:p>
    <w:p w:rsidR="00005B90" w:rsidRPr="00870565" w:rsidRDefault="003C349E"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Compensatory strategy training focuses on modifying the environment and/or providing an individual with internal or external sup</w:t>
      </w:r>
      <w:r w:rsidR="00170B85" w:rsidRPr="00870565">
        <w:rPr>
          <w:rFonts w:ascii="Times New Roman" w:hAnsi="Times New Roman" w:cs="Times New Roman"/>
          <w:sz w:val="24"/>
          <w:szCs w:val="24"/>
        </w:rPr>
        <w:t>ports to maximize their skills</w:t>
      </w:r>
      <w:r w:rsidR="00FF4C83" w:rsidRPr="00870565">
        <w:rPr>
          <w:rFonts w:ascii="Times New Roman" w:hAnsi="Times New Roman" w:cs="Times New Roman"/>
          <w:sz w:val="24"/>
          <w:szCs w:val="24"/>
        </w:rPr>
        <w:t xml:space="preserve">. External supports include, but are not limited to imagery, mnemonics and association. Internal supports, on the other hand, involve calendars, PDAs, and memory aids. These strategies support a variety of impairments, and thus improve the patients’ skills. </w:t>
      </w:r>
    </w:p>
    <w:p w:rsidR="0008297F" w:rsidRPr="00870565" w:rsidRDefault="0008297F"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 xml:space="preserve">Computer-assisted treatment (CAT) is another treatment approach which capitalizes on existing technologies to impact specific skills of an individual to improve their performance. Usually, CAT takes the form of mobile applications or commercial software. </w:t>
      </w:r>
      <w:r w:rsidR="00FF4C83" w:rsidRPr="00870565">
        <w:rPr>
          <w:rFonts w:ascii="Times New Roman" w:hAnsi="Times New Roman" w:cs="Times New Roman"/>
          <w:sz w:val="24"/>
          <w:szCs w:val="24"/>
        </w:rPr>
        <w:t xml:space="preserve">CAT tools provide consistent feedback to individuals, and thus compensate for cognitive-communication insufficiencies. </w:t>
      </w:r>
      <w:r w:rsidR="002A05A8" w:rsidRPr="00870565">
        <w:rPr>
          <w:rFonts w:ascii="Times New Roman" w:hAnsi="Times New Roman" w:cs="Times New Roman"/>
          <w:sz w:val="24"/>
          <w:szCs w:val="24"/>
        </w:rPr>
        <w:t>A</w:t>
      </w:r>
      <w:r w:rsidR="00005B90" w:rsidRPr="00870565">
        <w:rPr>
          <w:rFonts w:ascii="Times New Roman" w:hAnsi="Times New Roman" w:cs="Times New Roman"/>
          <w:sz w:val="24"/>
          <w:szCs w:val="24"/>
        </w:rPr>
        <w:t xml:space="preserve"> comparison of a computerized program and a non-computerized program </w:t>
      </w:r>
      <w:r w:rsidR="00005B90" w:rsidRPr="00870565">
        <w:rPr>
          <w:rFonts w:ascii="Times New Roman" w:hAnsi="Times New Roman" w:cs="Times New Roman"/>
          <w:sz w:val="24"/>
          <w:szCs w:val="24"/>
        </w:rPr>
        <w:lastRenderedPageBreak/>
        <w:t>revealed that the computerized approach showed better improvements in memory and attention</w:t>
      </w:r>
      <w:r w:rsidR="00207396" w:rsidRPr="00870565">
        <w:rPr>
          <w:rFonts w:ascii="Times New Roman" w:hAnsi="Times New Roman" w:cs="Times New Roman"/>
          <w:sz w:val="24"/>
          <w:szCs w:val="24"/>
        </w:rPr>
        <w:t xml:space="preserve"> (Fernandez et al., 2017)</w:t>
      </w:r>
      <w:r w:rsidR="00005B90" w:rsidRPr="00870565">
        <w:rPr>
          <w:rFonts w:ascii="Times New Roman" w:hAnsi="Times New Roman" w:cs="Times New Roman"/>
          <w:sz w:val="24"/>
          <w:szCs w:val="24"/>
        </w:rPr>
        <w:t>. As su</w:t>
      </w:r>
      <w:r w:rsidR="00972363" w:rsidRPr="00870565">
        <w:rPr>
          <w:rFonts w:ascii="Times New Roman" w:hAnsi="Times New Roman" w:cs="Times New Roman"/>
          <w:sz w:val="24"/>
          <w:szCs w:val="24"/>
        </w:rPr>
        <w:t xml:space="preserve">ch, this treatment approach is reliable and valid. </w:t>
      </w:r>
    </w:p>
    <w:p w:rsidR="00FF4C83" w:rsidRPr="00870565" w:rsidRDefault="00FF4C83"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Drill and Practice Training are other commonly used treatment methods whose primary objective is to stimulate affected neural networks and establish new similar networks to restore a skill in an individual. Dual task training</w:t>
      </w:r>
      <w:r w:rsidR="007462B4" w:rsidRPr="00870565">
        <w:rPr>
          <w:rFonts w:ascii="Times New Roman" w:hAnsi="Times New Roman" w:cs="Times New Roman"/>
          <w:sz w:val="24"/>
          <w:szCs w:val="24"/>
        </w:rPr>
        <w:t xml:space="preserve"> is another approach which</w:t>
      </w:r>
      <w:r w:rsidRPr="00870565">
        <w:rPr>
          <w:rFonts w:ascii="Times New Roman" w:hAnsi="Times New Roman" w:cs="Times New Roman"/>
          <w:sz w:val="24"/>
          <w:szCs w:val="24"/>
        </w:rPr>
        <w:t xml:space="preserve"> aims at targeting the ability to engage in two competing activities simultaneously to improve task complexity. </w:t>
      </w:r>
      <w:r w:rsidR="00155E8C" w:rsidRPr="00870565">
        <w:rPr>
          <w:rFonts w:ascii="Times New Roman" w:hAnsi="Times New Roman" w:cs="Times New Roman"/>
          <w:sz w:val="24"/>
          <w:szCs w:val="24"/>
        </w:rPr>
        <w:t>This technique relies on tasks which</w:t>
      </w:r>
      <w:r w:rsidRPr="00870565">
        <w:rPr>
          <w:rFonts w:ascii="Times New Roman" w:hAnsi="Times New Roman" w:cs="Times New Roman"/>
          <w:sz w:val="24"/>
          <w:szCs w:val="24"/>
        </w:rPr>
        <w:t xml:space="preserve"> </w:t>
      </w:r>
      <w:r w:rsidR="00155E8C" w:rsidRPr="00870565">
        <w:rPr>
          <w:rFonts w:ascii="Times New Roman" w:hAnsi="Times New Roman" w:cs="Times New Roman"/>
          <w:sz w:val="24"/>
          <w:szCs w:val="24"/>
        </w:rPr>
        <w:t xml:space="preserve">require equal attention levels. These tasks can both be cognitive tasks, motor tasks, or a combination of a motor task and a cognitive task. </w:t>
      </w:r>
    </w:p>
    <w:p w:rsidR="00155E8C" w:rsidRPr="00870565" w:rsidRDefault="00155E8C"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 xml:space="preserve">Finally, Errorless learning is a technique in which the professional precludes the TBI patient from making errors while learning a specific skill. </w:t>
      </w:r>
      <w:r w:rsidR="00D879E5" w:rsidRPr="00870565">
        <w:rPr>
          <w:rFonts w:ascii="Times New Roman" w:hAnsi="Times New Roman" w:cs="Times New Roman"/>
          <w:sz w:val="24"/>
          <w:szCs w:val="24"/>
        </w:rPr>
        <w:t>Preclu</w:t>
      </w:r>
      <w:r w:rsidR="00D11EA6" w:rsidRPr="00870565">
        <w:rPr>
          <w:rFonts w:ascii="Times New Roman" w:hAnsi="Times New Roman" w:cs="Times New Roman"/>
          <w:sz w:val="24"/>
          <w:szCs w:val="24"/>
        </w:rPr>
        <w:t>ding errors can be achieved by following a set of standard procedures such as the one below:</w:t>
      </w:r>
    </w:p>
    <w:p w:rsidR="00D11EA6" w:rsidRPr="00870565" w:rsidRDefault="00D11EA6" w:rsidP="00870565">
      <w:pPr>
        <w:pStyle w:val="ListParagraph"/>
        <w:numPr>
          <w:ilvl w:val="0"/>
          <w:numId w:val="2"/>
        </w:numPr>
        <w:spacing w:line="480" w:lineRule="auto"/>
        <w:rPr>
          <w:rFonts w:ascii="Times New Roman" w:hAnsi="Times New Roman" w:cs="Times New Roman"/>
          <w:sz w:val="24"/>
          <w:szCs w:val="24"/>
        </w:rPr>
      </w:pPr>
      <w:r w:rsidRPr="00870565">
        <w:rPr>
          <w:rFonts w:ascii="Times New Roman" w:hAnsi="Times New Roman" w:cs="Times New Roman"/>
          <w:sz w:val="24"/>
          <w:szCs w:val="24"/>
        </w:rPr>
        <w:t>Dividing the task into discrete steps</w:t>
      </w:r>
    </w:p>
    <w:p w:rsidR="00D11EA6" w:rsidRPr="00870565" w:rsidRDefault="00D11EA6" w:rsidP="00870565">
      <w:pPr>
        <w:pStyle w:val="ListParagraph"/>
        <w:numPr>
          <w:ilvl w:val="0"/>
          <w:numId w:val="2"/>
        </w:numPr>
        <w:spacing w:line="480" w:lineRule="auto"/>
        <w:rPr>
          <w:rFonts w:ascii="Times New Roman" w:hAnsi="Times New Roman" w:cs="Times New Roman"/>
          <w:sz w:val="24"/>
          <w:szCs w:val="24"/>
        </w:rPr>
      </w:pPr>
      <w:r w:rsidRPr="00870565">
        <w:rPr>
          <w:rFonts w:ascii="Times New Roman" w:hAnsi="Times New Roman" w:cs="Times New Roman"/>
          <w:sz w:val="24"/>
          <w:szCs w:val="24"/>
        </w:rPr>
        <w:t>Providing enough models before asking the client to execute the task</w:t>
      </w:r>
    </w:p>
    <w:p w:rsidR="00D11EA6" w:rsidRPr="00870565" w:rsidRDefault="00D11EA6" w:rsidP="00870565">
      <w:pPr>
        <w:pStyle w:val="ListParagraph"/>
        <w:numPr>
          <w:ilvl w:val="0"/>
          <w:numId w:val="2"/>
        </w:numPr>
        <w:spacing w:line="480" w:lineRule="auto"/>
        <w:rPr>
          <w:rFonts w:ascii="Times New Roman" w:hAnsi="Times New Roman" w:cs="Times New Roman"/>
          <w:sz w:val="24"/>
          <w:szCs w:val="24"/>
        </w:rPr>
      </w:pPr>
      <w:r w:rsidRPr="00870565">
        <w:rPr>
          <w:rFonts w:ascii="Times New Roman" w:hAnsi="Times New Roman" w:cs="Times New Roman"/>
          <w:sz w:val="24"/>
          <w:szCs w:val="24"/>
        </w:rPr>
        <w:t>Encouraging the patient to avoid random guesses</w:t>
      </w:r>
    </w:p>
    <w:p w:rsidR="00D11EA6" w:rsidRPr="00870565" w:rsidRDefault="00D11EA6" w:rsidP="00870565">
      <w:pPr>
        <w:pStyle w:val="ListParagraph"/>
        <w:numPr>
          <w:ilvl w:val="0"/>
          <w:numId w:val="2"/>
        </w:numPr>
        <w:spacing w:line="480" w:lineRule="auto"/>
        <w:rPr>
          <w:rFonts w:ascii="Times New Roman" w:hAnsi="Times New Roman" w:cs="Times New Roman"/>
          <w:sz w:val="24"/>
          <w:szCs w:val="24"/>
        </w:rPr>
      </w:pPr>
      <w:r w:rsidRPr="00870565">
        <w:rPr>
          <w:rFonts w:ascii="Times New Roman" w:hAnsi="Times New Roman" w:cs="Times New Roman"/>
          <w:sz w:val="24"/>
          <w:szCs w:val="24"/>
        </w:rPr>
        <w:t>Correcting errors immediately upon identification</w:t>
      </w:r>
    </w:p>
    <w:p w:rsidR="00D11EA6" w:rsidRPr="00870565" w:rsidRDefault="00D11EA6" w:rsidP="00870565">
      <w:pPr>
        <w:pStyle w:val="ListParagraph"/>
        <w:numPr>
          <w:ilvl w:val="0"/>
          <w:numId w:val="2"/>
        </w:numPr>
        <w:spacing w:line="480" w:lineRule="auto"/>
        <w:rPr>
          <w:rFonts w:ascii="Times New Roman" w:hAnsi="Times New Roman" w:cs="Times New Roman"/>
          <w:sz w:val="24"/>
          <w:szCs w:val="24"/>
        </w:rPr>
      </w:pPr>
      <w:r w:rsidRPr="00870565">
        <w:rPr>
          <w:rFonts w:ascii="Times New Roman" w:hAnsi="Times New Roman" w:cs="Times New Roman"/>
          <w:sz w:val="24"/>
          <w:szCs w:val="24"/>
        </w:rPr>
        <w:t>Carefully fading prompts</w:t>
      </w:r>
    </w:p>
    <w:p w:rsidR="007462B4" w:rsidRPr="00870565" w:rsidRDefault="007462B4"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 xml:space="preserve">It is evident that most treatment approaches help clients to achieve independence by </w:t>
      </w:r>
      <w:r w:rsidR="001E1210" w:rsidRPr="00870565">
        <w:rPr>
          <w:rFonts w:ascii="Times New Roman" w:hAnsi="Times New Roman" w:cs="Times New Roman"/>
          <w:sz w:val="24"/>
          <w:szCs w:val="24"/>
        </w:rPr>
        <w:t xml:space="preserve">targeting specific deficiencies in specific skills and working towards restoring them. </w:t>
      </w:r>
      <w:r w:rsidR="00646E19" w:rsidRPr="00870565">
        <w:rPr>
          <w:rFonts w:ascii="Times New Roman" w:hAnsi="Times New Roman" w:cs="Times New Roman"/>
          <w:sz w:val="24"/>
          <w:szCs w:val="24"/>
        </w:rPr>
        <w:t xml:space="preserve">As we have established, traumatic brain injury affect the brain and its core functions. </w:t>
      </w:r>
      <w:r w:rsidR="000E4367" w:rsidRPr="00870565">
        <w:rPr>
          <w:rFonts w:ascii="Times New Roman" w:hAnsi="Times New Roman" w:cs="Times New Roman"/>
          <w:sz w:val="24"/>
          <w:szCs w:val="24"/>
        </w:rPr>
        <w:t xml:space="preserve">As such, the treatment approaches described above have high levels of reliability and validity. </w:t>
      </w:r>
    </w:p>
    <w:p w:rsidR="009D1C2D" w:rsidRPr="00870565" w:rsidRDefault="009D1C2D" w:rsidP="00870565">
      <w:pPr>
        <w:spacing w:line="480" w:lineRule="auto"/>
        <w:jc w:val="center"/>
        <w:rPr>
          <w:rFonts w:ascii="Times New Roman" w:hAnsi="Times New Roman" w:cs="Times New Roman"/>
          <w:b/>
          <w:sz w:val="24"/>
          <w:szCs w:val="24"/>
        </w:rPr>
      </w:pPr>
      <w:r w:rsidRPr="00870565">
        <w:rPr>
          <w:rFonts w:ascii="Times New Roman" w:hAnsi="Times New Roman" w:cs="Times New Roman"/>
          <w:b/>
          <w:sz w:val="24"/>
          <w:szCs w:val="24"/>
        </w:rPr>
        <w:t>Legal and Ethical Considerations</w:t>
      </w:r>
    </w:p>
    <w:p w:rsidR="004E7966" w:rsidRPr="00870565" w:rsidRDefault="00D827A0"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lastRenderedPageBreak/>
        <w:t>Like any other field, the assessment and treatment of traumatic brain injuries is based on several legal and ethical considerations.</w:t>
      </w:r>
      <w:r w:rsidR="004E7966" w:rsidRPr="00870565">
        <w:rPr>
          <w:rFonts w:ascii="Times New Roman" w:hAnsi="Times New Roman" w:cs="Times New Roman"/>
          <w:sz w:val="24"/>
          <w:szCs w:val="24"/>
        </w:rPr>
        <w:t xml:space="preserve"> These considerations arise due to the vulnerability of the patients themselves and their families, challenges in interpreting negative outcomes, and costs.</w:t>
      </w:r>
      <w:r w:rsidRPr="00870565">
        <w:rPr>
          <w:rFonts w:ascii="Times New Roman" w:hAnsi="Times New Roman" w:cs="Times New Roman"/>
          <w:sz w:val="24"/>
          <w:szCs w:val="24"/>
        </w:rPr>
        <w:t xml:space="preserve"> </w:t>
      </w:r>
      <w:r w:rsidR="000A6A2A" w:rsidRPr="00870565">
        <w:rPr>
          <w:rFonts w:ascii="Times New Roman" w:hAnsi="Times New Roman" w:cs="Times New Roman"/>
          <w:sz w:val="24"/>
          <w:szCs w:val="24"/>
        </w:rPr>
        <w:t xml:space="preserve">One of the considerations that fall under the legal and ethical brackets is the equitability in care. All patients should receive the best care available regardless of their </w:t>
      </w:r>
      <w:r w:rsidR="007B7270" w:rsidRPr="00870565">
        <w:rPr>
          <w:rFonts w:ascii="Times New Roman" w:hAnsi="Times New Roman" w:cs="Times New Roman"/>
          <w:sz w:val="24"/>
          <w:szCs w:val="24"/>
        </w:rPr>
        <w:t>social status.</w:t>
      </w:r>
      <w:r w:rsidR="004E7966" w:rsidRPr="00870565">
        <w:rPr>
          <w:rFonts w:ascii="Times New Roman" w:hAnsi="Times New Roman" w:cs="Times New Roman"/>
          <w:sz w:val="24"/>
          <w:szCs w:val="24"/>
        </w:rPr>
        <w:t xml:space="preserve"> In addition, practitioners giving feedback regarding traumatic brain injury need to be legally allowed to do so. Besides obtaining legal permits, they should also conform to the “standard of care” for diagnoses as set by the QEEG. </w:t>
      </w:r>
    </w:p>
    <w:p w:rsidR="009D1C2D" w:rsidRPr="00870565" w:rsidRDefault="009D1C2D" w:rsidP="00870565">
      <w:pPr>
        <w:spacing w:line="480" w:lineRule="auto"/>
        <w:jc w:val="center"/>
        <w:rPr>
          <w:rFonts w:ascii="Times New Roman" w:hAnsi="Times New Roman" w:cs="Times New Roman"/>
          <w:b/>
          <w:sz w:val="24"/>
          <w:szCs w:val="24"/>
        </w:rPr>
      </w:pPr>
      <w:r w:rsidRPr="00870565">
        <w:rPr>
          <w:rFonts w:ascii="Times New Roman" w:hAnsi="Times New Roman" w:cs="Times New Roman"/>
          <w:b/>
          <w:sz w:val="24"/>
          <w:szCs w:val="24"/>
        </w:rPr>
        <w:t>Conclusion</w:t>
      </w:r>
    </w:p>
    <w:p w:rsidR="00D827A0" w:rsidRPr="00870565" w:rsidRDefault="00340D48" w:rsidP="00870565">
      <w:pPr>
        <w:spacing w:line="480" w:lineRule="auto"/>
        <w:ind w:firstLine="720"/>
        <w:rPr>
          <w:rFonts w:ascii="Times New Roman" w:hAnsi="Times New Roman" w:cs="Times New Roman"/>
          <w:sz w:val="24"/>
          <w:szCs w:val="24"/>
        </w:rPr>
      </w:pPr>
      <w:r w:rsidRPr="00870565">
        <w:rPr>
          <w:rFonts w:ascii="Times New Roman" w:hAnsi="Times New Roman" w:cs="Times New Roman"/>
          <w:sz w:val="24"/>
          <w:szCs w:val="24"/>
        </w:rPr>
        <w:t xml:space="preserve">In conclusion, traumatic brain injuries require intricate assessment which includes screening, cognitive-communication assessment, swallowing assessment, </w:t>
      </w:r>
      <w:proofErr w:type="spellStart"/>
      <w:r w:rsidRPr="00870565">
        <w:rPr>
          <w:rFonts w:ascii="Times New Roman" w:hAnsi="Times New Roman" w:cs="Times New Roman"/>
          <w:sz w:val="24"/>
          <w:szCs w:val="24"/>
        </w:rPr>
        <w:t>audiologic</w:t>
      </w:r>
      <w:proofErr w:type="spellEnd"/>
      <w:r w:rsidRPr="00870565">
        <w:rPr>
          <w:rFonts w:ascii="Times New Roman" w:hAnsi="Times New Roman" w:cs="Times New Roman"/>
          <w:sz w:val="24"/>
          <w:szCs w:val="24"/>
        </w:rPr>
        <w:t xml:space="preserve"> and vestibular assessment. There are several ethical and legal considerations during treatment and assessments. Most of the methods show high levels or reliability and validity. </w:t>
      </w:r>
    </w:p>
    <w:p w:rsidR="00270A1A" w:rsidRPr="00870565" w:rsidRDefault="00270A1A" w:rsidP="00870565">
      <w:pPr>
        <w:spacing w:line="480" w:lineRule="auto"/>
        <w:rPr>
          <w:rFonts w:ascii="Times New Roman" w:hAnsi="Times New Roman" w:cs="Times New Roman"/>
          <w:sz w:val="24"/>
          <w:szCs w:val="24"/>
        </w:rPr>
      </w:pPr>
    </w:p>
    <w:p w:rsidR="00870565" w:rsidRPr="00870565" w:rsidRDefault="00870565" w:rsidP="00870565">
      <w:pPr>
        <w:spacing w:line="480" w:lineRule="auto"/>
        <w:jc w:val="center"/>
        <w:rPr>
          <w:rFonts w:ascii="Times New Roman" w:hAnsi="Times New Roman" w:cs="Times New Roman"/>
          <w:sz w:val="24"/>
          <w:szCs w:val="24"/>
        </w:rPr>
      </w:pPr>
    </w:p>
    <w:p w:rsidR="00870565" w:rsidRPr="00870565" w:rsidRDefault="00870565" w:rsidP="00870565">
      <w:pPr>
        <w:spacing w:line="480" w:lineRule="auto"/>
        <w:jc w:val="center"/>
        <w:rPr>
          <w:rFonts w:ascii="Times New Roman" w:hAnsi="Times New Roman" w:cs="Times New Roman"/>
          <w:sz w:val="24"/>
          <w:szCs w:val="24"/>
        </w:rPr>
      </w:pPr>
    </w:p>
    <w:p w:rsidR="00870565" w:rsidRPr="00870565" w:rsidRDefault="00870565" w:rsidP="00870565">
      <w:pPr>
        <w:spacing w:line="480" w:lineRule="auto"/>
        <w:jc w:val="center"/>
        <w:rPr>
          <w:rFonts w:ascii="Times New Roman" w:hAnsi="Times New Roman" w:cs="Times New Roman"/>
          <w:sz w:val="24"/>
          <w:szCs w:val="24"/>
        </w:rPr>
      </w:pPr>
    </w:p>
    <w:p w:rsidR="00870565" w:rsidRPr="00870565" w:rsidRDefault="00870565" w:rsidP="00870565">
      <w:pPr>
        <w:spacing w:line="480" w:lineRule="auto"/>
        <w:jc w:val="center"/>
        <w:rPr>
          <w:rFonts w:ascii="Times New Roman" w:hAnsi="Times New Roman" w:cs="Times New Roman"/>
          <w:sz w:val="24"/>
          <w:szCs w:val="24"/>
        </w:rPr>
      </w:pPr>
    </w:p>
    <w:p w:rsidR="00870565" w:rsidRPr="00870565" w:rsidRDefault="00870565" w:rsidP="00870565">
      <w:pPr>
        <w:spacing w:line="480" w:lineRule="auto"/>
        <w:jc w:val="center"/>
        <w:rPr>
          <w:rFonts w:ascii="Times New Roman" w:hAnsi="Times New Roman" w:cs="Times New Roman"/>
          <w:sz w:val="24"/>
          <w:szCs w:val="24"/>
        </w:rPr>
      </w:pPr>
    </w:p>
    <w:p w:rsidR="00870565" w:rsidRPr="00870565" w:rsidRDefault="00870565" w:rsidP="00870565">
      <w:pPr>
        <w:spacing w:line="480" w:lineRule="auto"/>
        <w:jc w:val="center"/>
        <w:rPr>
          <w:rFonts w:ascii="Times New Roman" w:hAnsi="Times New Roman" w:cs="Times New Roman"/>
          <w:sz w:val="24"/>
          <w:szCs w:val="24"/>
        </w:rPr>
      </w:pPr>
    </w:p>
    <w:p w:rsidR="00270A1A" w:rsidRPr="00870565" w:rsidRDefault="00270A1A" w:rsidP="00870565">
      <w:pPr>
        <w:spacing w:line="480" w:lineRule="auto"/>
        <w:jc w:val="center"/>
        <w:rPr>
          <w:rFonts w:ascii="Times New Roman" w:hAnsi="Times New Roman" w:cs="Times New Roman"/>
          <w:sz w:val="24"/>
          <w:szCs w:val="24"/>
        </w:rPr>
      </w:pPr>
      <w:r w:rsidRPr="00870565">
        <w:rPr>
          <w:rFonts w:ascii="Times New Roman" w:hAnsi="Times New Roman" w:cs="Times New Roman"/>
          <w:sz w:val="24"/>
          <w:szCs w:val="24"/>
        </w:rPr>
        <w:lastRenderedPageBreak/>
        <w:t>References</w:t>
      </w:r>
    </w:p>
    <w:p w:rsidR="00163514" w:rsidRPr="00163514" w:rsidRDefault="00163514" w:rsidP="00870565">
      <w:pPr>
        <w:spacing w:line="480" w:lineRule="auto"/>
        <w:ind w:left="720" w:hanging="720"/>
        <w:rPr>
          <w:rFonts w:ascii="Times New Roman" w:hAnsi="Times New Roman" w:cs="Times New Roman"/>
          <w:i/>
          <w:iCs/>
          <w:sz w:val="24"/>
          <w:szCs w:val="24"/>
        </w:rPr>
      </w:pPr>
      <w:proofErr w:type="gramStart"/>
      <w:r w:rsidRPr="00163514">
        <w:rPr>
          <w:rFonts w:ascii="Times New Roman" w:eastAsia="Times New Roman" w:hAnsi="Times New Roman" w:cs="Times New Roman"/>
          <w:sz w:val="24"/>
          <w:szCs w:val="24"/>
        </w:rPr>
        <w:t xml:space="preserve">Fernandez, E., </w:t>
      </w:r>
      <w:proofErr w:type="spellStart"/>
      <w:r w:rsidRPr="00163514">
        <w:rPr>
          <w:rFonts w:ascii="Times New Roman" w:eastAsia="Times New Roman" w:hAnsi="Times New Roman" w:cs="Times New Roman"/>
          <w:sz w:val="24"/>
          <w:szCs w:val="24"/>
        </w:rPr>
        <w:t>Bergado</w:t>
      </w:r>
      <w:proofErr w:type="spellEnd"/>
      <w:r w:rsidRPr="00163514">
        <w:rPr>
          <w:rFonts w:ascii="Times New Roman" w:eastAsia="Times New Roman" w:hAnsi="Times New Roman" w:cs="Times New Roman"/>
          <w:sz w:val="24"/>
          <w:szCs w:val="24"/>
        </w:rPr>
        <w:t xml:space="preserve"> Rosado, J. A., Rodriguez Perez, D., Salazar Santana, S., Torres Aguilar, M., &amp; </w:t>
      </w:r>
      <w:proofErr w:type="spellStart"/>
      <w:r w:rsidRPr="00163514">
        <w:rPr>
          <w:rFonts w:ascii="Times New Roman" w:eastAsia="Times New Roman" w:hAnsi="Times New Roman" w:cs="Times New Roman"/>
          <w:sz w:val="24"/>
          <w:szCs w:val="24"/>
        </w:rPr>
        <w:t>Bringas</w:t>
      </w:r>
      <w:proofErr w:type="spellEnd"/>
      <w:r w:rsidRPr="00163514">
        <w:rPr>
          <w:rFonts w:ascii="Times New Roman" w:eastAsia="Times New Roman" w:hAnsi="Times New Roman" w:cs="Times New Roman"/>
          <w:sz w:val="24"/>
          <w:szCs w:val="24"/>
        </w:rPr>
        <w:t>, M. L. (2017).</w:t>
      </w:r>
      <w:proofErr w:type="gramEnd"/>
      <w:r w:rsidRPr="00163514">
        <w:rPr>
          <w:rFonts w:ascii="Times New Roman" w:eastAsia="Times New Roman" w:hAnsi="Times New Roman" w:cs="Times New Roman"/>
          <w:sz w:val="24"/>
          <w:szCs w:val="24"/>
        </w:rPr>
        <w:t xml:space="preserve"> </w:t>
      </w:r>
      <w:proofErr w:type="gramStart"/>
      <w:r w:rsidRPr="00163514">
        <w:rPr>
          <w:rFonts w:ascii="Times New Roman" w:eastAsia="Times New Roman" w:hAnsi="Times New Roman" w:cs="Times New Roman"/>
          <w:sz w:val="24"/>
          <w:szCs w:val="24"/>
        </w:rPr>
        <w:t>Effectiveness of a Computer-Based Training Program of Attention and Memory in Patients with Acquired Brain Damage.</w:t>
      </w:r>
      <w:proofErr w:type="gramEnd"/>
      <w:r w:rsidRPr="00163514">
        <w:rPr>
          <w:rFonts w:ascii="Times New Roman" w:eastAsia="Times New Roman" w:hAnsi="Times New Roman" w:cs="Times New Roman"/>
          <w:sz w:val="24"/>
          <w:szCs w:val="24"/>
        </w:rPr>
        <w:t xml:space="preserve"> </w:t>
      </w:r>
      <w:proofErr w:type="gramStart"/>
      <w:r w:rsidRPr="00163514">
        <w:rPr>
          <w:rFonts w:ascii="Times New Roman" w:eastAsia="Times New Roman" w:hAnsi="Times New Roman" w:cs="Times New Roman"/>
          <w:i/>
          <w:iCs/>
          <w:sz w:val="24"/>
          <w:szCs w:val="24"/>
        </w:rPr>
        <w:t>Behavioral Sciences</w:t>
      </w:r>
      <w:r w:rsidRPr="00163514">
        <w:rPr>
          <w:rFonts w:ascii="Times New Roman" w:eastAsia="Times New Roman" w:hAnsi="Times New Roman" w:cs="Times New Roman"/>
          <w:sz w:val="24"/>
          <w:szCs w:val="24"/>
        </w:rPr>
        <w:t xml:space="preserve">, </w:t>
      </w:r>
      <w:r w:rsidRPr="00163514">
        <w:rPr>
          <w:rFonts w:ascii="Times New Roman" w:eastAsia="Times New Roman" w:hAnsi="Times New Roman" w:cs="Times New Roman"/>
          <w:i/>
          <w:iCs/>
          <w:sz w:val="24"/>
          <w:szCs w:val="24"/>
        </w:rPr>
        <w:t>8</w:t>
      </w:r>
      <w:r w:rsidRPr="00163514">
        <w:rPr>
          <w:rFonts w:ascii="Times New Roman" w:eastAsia="Times New Roman" w:hAnsi="Times New Roman" w:cs="Times New Roman"/>
          <w:sz w:val="24"/>
          <w:szCs w:val="24"/>
        </w:rPr>
        <w:t>(1), 4.</w:t>
      </w:r>
      <w:proofErr w:type="gramEnd"/>
    </w:p>
    <w:p w:rsidR="00163514" w:rsidRPr="00870565" w:rsidRDefault="00163514" w:rsidP="00870565">
      <w:pPr>
        <w:spacing w:line="480" w:lineRule="auto"/>
        <w:ind w:left="720" w:hanging="720"/>
        <w:rPr>
          <w:rFonts w:ascii="Times New Roman" w:hAnsi="Times New Roman" w:cs="Times New Roman"/>
          <w:sz w:val="24"/>
          <w:szCs w:val="24"/>
        </w:rPr>
      </w:pPr>
      <w:proofErr w:type="gramStart"/>
      <w:r w:rsidRPr="00870565">
        <w:rPr>
          <w:rFonts w:ascii="Times New Roman" w:hAnsi="Times New Roman" w:cs="Times New Roman"/>
          <w:sz w:val="24"/>
          <w:szCs w:val="24"/>
        </w:rPr>
        <w:t xml:space="preserve">In </w:t>
      </w:r>
      <w:proofErr w:type="spellStart"/>
      <w:r w:rsidRPr="00870565">
        <w:rPr>
          <w:rFonts w:ascii="Times New Roman" w:hAnsi="Times New Roman" w:cs="Times New Roman"/>
          <w:sz w:val="24"/>
          <w:szCs w:val="24"/>
        </w:rPr>
        <w:t>Zollman</w:t>
      </w:r>
      <w:proofErr w:type="spellEnd"/>
      <w:r w:rsidRPr="00870565">
        <w:rPr>
          <w:rFonts w:ascii="Times New Roman" w:hAnsi="Times New Roman" w:cs="Times New Roman"/>
          <w:sz w:val="24"/>
          <w:szCs w:val="24"/>
        </w:rPr>
        <w:t>, F. S. (2016).</w:t>
      </w:r>
      <w:proofErr w:type="gramEnd"/>
      <w:r w:rsidRPr="00870565">
        <w:rPr>
          <w:rFonts w:ascii="Times New Roman" w:hAnsi="Times New Roman" w:cs="Times New Roman"/>
          <w:sz w:val="24"/>
          <w:szCs w:val="24"/>
        </w:rPr>
        <w:t xml:space="preserve"> </w:t>
      </w:r>
      <w:r w:rsidRPr="00870565">
        <w:rPr>
          <w:rFonts w:ascii="Times New Roman" w:hAnsi="Times New Roman" w:cs="Times New Roman"/>
          <w:i/>
          <w:iCs/>
          <w:sz w:val="24"/>
          <w:szCs w:val="24"/>
        </w:rPr>
        <w:t>Manual of traumatic brain injury: Assessment and management</w:t>
      </w:r>
      <w:r w:rsidRPr="00870565">
        <w:rPr>
          <w:rFonts w:ascii="Times New Roman" w:hAnsi="Times New Roman" w:cs="Times New Roman"/>
          <w:sz w:val="24"/>
          <w:szCs w:val="24"/>
        </w:rPr>
        <w:t>.</w:t>
      </w:r>
    </w:p>
    <w:p w:rsidR="00163514" w:rsidRPr="00870565" w:rsidRDefault="00163514" w:rsidP="00870565">
      <w:pPr>
        <w:spacing w:line="480" w:lineRule="auto"/>
        <w:ind w:left="720" w:hanging="720"/>
        <w:rPr>
          <w:rFonts w:ascii="Times New Roman" w:hAnsi="Times New Roman" w:cs="Times New Roman"/>
          <w:sz w:val="24"/>
          <w:szCs w:val="24"/>
        </w:rPr>
      </w:pPr>
      <w:proofErr w:type="spellStart"/>
      <w:proofErr w:type="gramStart"/>
      <w:r w:rsidRPr="00870565">
        <w:rPr>
          <w:rFonts w:ascii="Times New Roman" w:hAnsi="Times New Roman" w:cs="Times New Roman"/>
          <w:sz w:val="24"/>
          <w:szCs w:val="24"/>
        </w:rPr>
        <w:t>Juengst</w:t>
      </w:r>
      <w:proofErr w:type="spellEnd"/>
      <w:r w:rsidRPr="00870565">
        <w:rPr>
          <w:rFonts w:ascii="Times New Roman" w:hAnsi="Times New Roman" w:cs="Times New Roman"/>
          <w:sz w:val="24"/>
          <w:szCs w:val="24"/>
        </w:rPr>
        <w:t xml:space="preserve">, S. B., </w:t>
      </w:r>
      <w:proofErr w:type="spellStart"/>
      <w:r w:rsidRPr="00870565">
        <w:rPr>
          <w:rFonts w:ascii="Times New Roman" w:hAnsi="Times New Roman" w:cs="Times New Roman"/>
          <w:sz w:val="24"/>
          <w:szCs w:val="24"/>
        </w:rPr>
        <w:t>Myrga</w:t>
      </w:r>
      <w:proofErr w:type="spellEnd"/>
      <w:r w:rsidRPr="00870565">
        <w:rPr>
          <w:rFonts w:ascii="Times New Roman" w:hAnsi="Times New Roman" w:cs="Times New Roman"/>
          <w:sz w:val="24"/>
          <w:szCs w:val="24"/>
        </w:rPr>
        <w:t xml:space="preserve">, J. M., </w:t>
      </w:r>
      <w:proofErr w:type="spellStart"/>
      <w:r w:rsidRPr="00870565">
        <w:rPr>
          <w:rFonts w:ascii="Times New Roman" w:hAnsi="Times New Roman" w:cs="Times New Roman"/>
          <w:sz w:val="24"/>
          <w:szCs w:val="24"/>
        </w:rPr>
        <w:t>Fann</w:t>
      </w:r>
      <w:proofErr w:type="spellEnd"/>
      <w:r w:rsidRPr="00870565">
        <w:rPr>
          <w:rFonts w:ascii="Times New Roman" w:hAnsi="Times New Roman" w:cs="Times New Roman"/>
          <w:sz w:val="24"/>
          <w:szCs w:val="24"/>
        </w:rPr>
        <w:t>, J. R., &amp; Wagner, A. K.</w:t>
      </w:r>
      <w:proofErr w:type="gramEnd"/>
      <w:r w:rsidRPr="00870565">
        <w:rPr>
          <w:rFonts w:ascii="Times New Roman" w:hAnsi="Times New Roman" w:cs="Times New Roman"/>
          <w:sz w:val="24"/>
          <w:szCs w:val="24"/>
        </w:rPr>
        <w:t xml:space="preserve">  </w:t>
      </w:r>
      <w:proofErr w:type="gramStart"/>
      <w:r w:rsidRPr="00870565">
        <w:rPr>
          <w:rFonts w:ascii="Times New Roman" w:hAnsi="Times New Roman" w:cs="Times New Roman"/>
          <w:sz w:val="24"/>
          <w:szCs w:val="24"/>
        </w:rPr>
        <w:t>(2017). Cross-lagged panel analysis of depression and behavioral dysfunction in the first year after moderate-to-severe traumatic brain injury.</w:t>
      </w:r>
      <w:proofErr w:type="gramEnd"/>
      <w:r w:rsidRPr="00870565">
        <w:rPr>
          <w:rFonts w:ascii="Times New Roman" w:hAnsi="Times New Roman" w:cs="Times New Roman"/>
          <w:sz w:val="24"/>
          <w:szCs w:val="24"/>
        </w:rPr>
        <w:t xml:space="preserve"> </w:t>
      </w:r>
      <w:r w:rsidRPr="00870565">
        <w:rPr>
          <w:rFonts w:ascii="Times New Roman" w:hAnsi="Times New Roman" w:cs="Times New Roman"/>
          <w:i/>
          <w:iCs/>
          <w:sz w:val="24"/>
          <w:szCs w:val="24"/>
        </w:rPr>
        <w:t>The Journal of Neuropsychiatry and Clinical Neurosciences</w:t>
      </w:r>
      <w:r w:rsidRPr="00870565">
        <w:rPr>
          <w:rFonts w:ascii="Times New Roman" w:hAnsi="Times New Roman" w:cs="Times New Roman"/>
          <w:sz w:val="24"/>
          <w:szCs w:val="24"/>
        </w:rPr>
        <w:t xml:space="preserve">, </w:t>
      </w:r>
      <w:r w:rsidRPr="00870565">
        <w:rPr>
          <w:rFonts w:ascii="Times New Roman" w:hAnsi="Times New Roman" w:cs="Times New Roman"/>
          <w:i/>
          <w:iCs/>
          <w:sz w:val="24"/>
          <w:szCs w:val="24"/>
        </w:rPr>
        <w:t>29</w:t>
      </w:r>
      <w:r w:rsidRPr="00870565">
        <w:rPr>
          <w:rFonts w:ascii="Times New Roman" w:hAnsi="Times New Roman" w:cs="Times New Roman"/>
          <w:sz w:val="24"/>
          <w:szCs w:val="24"/>
        </w:rPr>
        <w:t xml:space="preserve">(3), 260–266. </w:t>
      </w:r>
      <w:hyperlink r:id="rId8" w:history="1">
        <w:r w:rsidRPr="00870565">
          <w:rPr>
            <w:rStyle w:val="Hyperlink"/>
            <w:rFonts w:ascii="Times New Roman" w:hAnsi="Times New Roman" w:cs="Times New Roman"/>
            <w:sz w:val="24"/>
            <w:szCs w:val="24"/>
          </w:rPr>
          <w:t>http://doi.org/10.1176/appi.neuropsych.16100217</w:t>
        </w:r>
      </w:hyperlink>
      <w:r w:rsidRPr="00870565">
        <w:rPr>
          <w:rFonts w:ascii="Times New Roman" w:hAnsi="Times New Roman" w:cs="Times New Roman"/>
          <w:sz w:val="24"/>
          <w:szCs w:val="24"/>
        </w:rPr>
        <w:t xml:space="preserve"> </w:t>
      </w:r>
    </w:p>
    <w:p w:rsidR="00163514" w:rsidRPr="00870565" w:rsidRDefault="00163514" w:rsidP="00870565">
      <w:pPr>
        <w:spacing w:line="480" w:lineRule="auto"/>
        <w:ind w:left="720" w:hanging="720"/>
        <w:rPr>
          <w:rStyle w:val="HTMLCite"/>
          <w:rFonts w:ascii="Times New Roman" w:hAnsi="Times New Roman" w:cs="Times New Roman"/>
          <w:sz w:val="24"/>
          <w:szCs w:val="24"/>
        </w:rPr>
      </w:pPr>
      <w:bookmarkStart w:id="0" w:name="_GoBack"/>
      <w:proofErr w:type="gramStart"/>
      <w:r w:rsidRPr="001073BC">
        <w:rPr>
          <w:rStyle w:val="HTMLCite"/>
          <w:rFonts w:ascii="Times New Roman" w:hAnsi="Times New Roman" w:cs="Times New Roman"/>
          <w:i w:val="0"/>
          <w:sz w:val="24"/>
          <w:szCs w:val="24"/>
        </w:rPr>
        <w:t xml:space="preserve">Turner-Stokes, Lynne; Pick, Anton; Nair, </w:t>
      </w:r>
      <w:proofErr w:type="spellStart"/>
      <w:r w:rsidRPr="001073BC">
        <w:rPr>
          <w:rStyle w:val="HTMLCite"/>
          <w:rFonts w:ascii="Times New Roman" w:hAnsi="Times New Roman" w:cs="Times New Roman"/>
          <w:i w:val="0"/>
          <w:sz w:val="24"/>
          <w:szCs w:val="24"/>
        </w:rPr>
        <w:t>Ajoy</w:t>
      </w:r>
      <w:proofErr w:type="spellEnd"/>
      <w:r w:rsidRPr="001073BC">
        <w:rPr>
          <w:rStyle w:val="HTMLCite"/>
          <w:rFonts w:ascii="Times New Roman" w:hAnsi="Times New Roman" w:cs="Times New Roman"/>
          <w:i w:val="0"/>
          <w:sz w:val="24"/>
          <w:szCs w:val="24"/>
        </w:rPr>
        <w:t xml:space="preserve">; </w:t>
      </w:r>
      <w:proofErr w:type="spellStart"/>
      <w:r w:rsidRPr="001073BC">
        <w:rPr>
          <w:rStyle w:val="HTMLCite"/>
          <w:rFonts w:ascii="Times New Roman" w:hAnsi="Times New Roman" w:cs="Times New Roman"/>
          <w:i w:val="0"/>
          <w:sz w:val="24"/>
          <w:szCs w:val="24"/>
        </w:rPr>
        <w:t>Disler</w:t>
      </w:r>
      <w:proofErr w:type="spellEnd"/>
      <w:r w:rsidRPr="001073BC">
        <w:rPr>
          <w:rStyle w:val="HTMLCite"/>
          <w:rFonts w:ascii="Times New Roman" w:hAnsi="Times New Roman" w:cs="Times New Roman"/>
          <w:i w:val="0"/>
          <w:sz w:val="24"/>
          <w:szCs w:val="24"/>
        </w:rPr>
        <w:t xml:space="preserve">, Peter B.; Wade, </w:t>
      </w:r>
      <w:proofErr w:type="spellStart"/>
      <w:r w:rsidRPr="001073BC">
        <w:rPr>
          <w:rStyle w:val="HTMLCite"/>
          <w:rFonts w:ascii="Times New Roman" w:hAnsi="Times New Roman" w:cs="Times New Roman"/>
          <w:i w:val="0"/>
          <w:sz w:val="24"/>
          <w:szCs w:val="24"/>
        </w:rPr>
        <w:t>Derick</w:t>
      </w:r>
      <w:proofErr w:type="spellEnd"/>
      <w:r w:rsidRPr="001073BC">
        <w:rPr>
          <w:rStyle w:val="HTMLCite"/>
          <w:rFonts w:ascii="Times New Roman" w:hAnsi="Times New Roman" w:cs="Times New Roman"/>
          <w:i w:val="0"/>
          <w:sz w:val="24"/>
          <w:szCs w:val="24"/>
        </w:rPr>
        <w:t xml:space="preserve"> T.</w:t>
      </w:r>
      <w:r w:rsidRPr="00870565">
        <w:rPr>
          <w:rStyle w:val="HTMLCite"/>
          <w:rFonts w:ascii="Times New Roman" w:hAnsi="Times New Roman" w:cs="Times New Roman"/>
          <w:sz w:val="24"/>
          <w:szCs w:val="24"/>
        </w:rPr>
        <w:t xml:space="preserve"> </w:t>
      </w:r>
      <w:bookmarkEnd w:id="0"/>
      <w:r w:rsidRPr="00870565">
        <w:rPr>
          <w:rStyle w:val="HTMLCite"/>
          <w:rFonts w:ascii="Times New Roman" w:hAnsi="Times New Roman" w:cs="Times New Roman"/>
          <w:sz w:val="24"/>
          <w:szCs w:val="24"/>
        </w:rPr>
        <w:t>(2015-12-22).</w:t>
      </w:r>
      <w:proofErr w:type="gramEnd"/>
      <w:r w:rsidRPr="00870565">
        <w:rPr>
          <w:rStyle w:val="HTMLCite"/>
          <w:rFonts w:ascii="Times New Roman" w:hAnsi="Times New Roman" w:cs="Times New Roman"/>
          <w:sz w:val="24"/>
          <w:szCs w:val="24"/>
        </w:rPr>
        <w:t xml:space="preserve"> </w:t>
      </w:r>
      <w:proofErr w:type="gramStart"/>
      <w:r w:rsidRPr="00870565">
        <w:rPr>
          <w:rStyle w:val="HTMLCite"/>
          <w:rFonts w:ascii="Times New Roman" w:hAnsi="Times New Roman" w:cs="Times New Roman"/>
          <w:sz w:val="24"/>
          <w:szCs w:val="24"/>
        </w:rPr>
        <w:t>"Multi-disciplinary rehabilitation for acquired brain injury in adults of working age".</w:t>
      </w:r>
      <w:proofErr w:type="gramEnd"/>
      <w:r w:rsidRPr="00870565">
        <w:rPr>
          <w:rStyle w:val="HTMLCite"/>
          <w:rFonts w:ascii="Times New Roman" w:hAnsi="Times New Roman" w:cs="Times New Roman"/>
          <w:sz w:val="24"/>
          <w:szCs w:val="24"/>
        </w:rPr>
        <w:t xml:space="preserve"> The Cochrane Database of Systematic Reviews (12): CD004170.</w:t>
      </w:r>
    </w:p>
    <w:p w:rsidR="00163514" w:rsidRPr="00870565" w:rsidRDefault="00163514" w:rsidP="00870565">
      <w:pPr>
        <w:spacing w:line="480" w:lineRule="auto"/>
        <w:ind w:left="720" w:hanging="720"/>
        <w:rPr>
          <w:rStyle w:val="HTMLCite"/>
          <w:rFonts w:ascii="Times New Roman" w:hAnsi="Times New Roman" w:cs="Times New Roman"/>
          <w:sz w:val="24"/>
          <w:szCs w:val="24"/>
        </w:rPr>
      </w:pPr>
    </w:p>
    <w:p w:rsidR="00270A1A" w:rsidRPr="00870565" w:rsidRDefault="00270A1A" w:rsidP="00870565">
      <w:pPr>
        <w:spacing w:line="480" w:lineRule="auto"/>
        <w:rPr>
          <w:rFonts w:ascii="Times New Roman" w:hAnsi="Times New Roman" w:cs="Times New Roman"/>
          <w:sz w:val="24"/>
          <w:szCs w:val="24"/>
        </w:rPr>
      </w:pPr>
    </w:p>
    <w:p w:rsidR="004778F4" w:rsidRPr="00870565" w:rsidRDefault="004778F4" w:rsidP="00870565">
      <w:pPr>
        <w:spacing w:line="480" w:lineRule="auto"/>
        <w:jc w:val="center"/>
        <w:rPr>
          <w:rFonts w:ascii="Times New Roman" w:hAnsi="Times New Roman" w:cs="Times New Roman"/>
          <w:sz w:val="24"/>
          <w:szCs w:val="24"/>
        </w:rPr>
      </w:pPr>
    </w:p>
    <w:p w:rsidR="004778F4" w:rsidRPr="00870565" w:rsidRDefault="004778F4" w:rsidP="00870565">
      <w:pPr>
        <w:spacing w:line="480" w:lineRule="auto"/>
        <w:jc w:val="center"/>
        <w:rPr>
          <w:rFonts w:ascii="Times New Roman" w:hAnsi="Times New Roman" w:cs="Times New Roman"/>
          <w:sz w:val="24"/>
          <w:szCs w:val="24"/>
        </w:rPr>
      </w:pPr>
    </w:p>
    <w:p w:rsidR="00870565" w:rsidRPr="00870565" w:rsidRDefault="00870565">
      <w:pPr>
        <w:spacing w:line="480" w:lineRule="auto"/>
        <w:jc w:val="center"/>
        <w:rPr>
          <w:rFonts w:ascii="Times New Roman" w:hAnsi="Times New Roman" w:cs="Times New Roman"/>
          <w:sz w:val="24"/>
          <w:szCs w:val="24"/>
        </w:rPr>
      </w:pPr>
    </w:p>
    <w:sectPr w:rsidR="00870565" w:rsidRPr="00870565" w:rsidSect="00064BE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2F3F" w:rsidRDefault="00EA2F3F" w:rsidP="00CC264E">
      <w:pPr>
        <w:spacing w:after="0" w:line="240" w:lineRule="auto"/>
      </w:pPr>
      <w:r>
        <w:separator/>
      </w:r>
    </w:p>
  </w:endnote>
  <w:endnote w:type="continuationSeparator" w:id="0">
    <w:p w:rsidR="00EA2F3F" w:rsidRDefault="00EA2F3F" w:rsidP="00CC2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2F3F" w:rsidRDefault="00EA2F3F" w:rsidP="00CC264E">
      <w:pPr>
        <w:spacing w:after="0" w:line="240" w:lineRule="auto"/>
      </w:pPr>
      <w:r>
        <w:separator/>
      </w:r>
    </w:p>
  </w:footnote>
  <w:footnote w:type="continuationSeparator" w:id="0">
    <w:p w:rsidR="00EA2F3F" w:rsidRDefault="00EA2F3F" w:rsidP="00CC26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64E" w:rsidRDefault="00CC264E">
    <w:pPr>
      <w:pStyle w:val="Header"/>
      <w:jc w:val="right"/>
    </w:pPr>
    <w:r w:rsidRPr="00CC264E">
      <w:rPr>
        <w:rFonts w:ascii="Times New Roman" w:hAnsi="Times New Roman" w:cs="Times New Roman"/>
        <w:sz w:val="24"/>
        <w:szCs w:val="24"/>
      </w:rPr>
      <w:t xml:space="preserve">THE RELIABILITY </w:t>
    </w:r>
    <w:r w:rsidR="00D10B16">
      <w:rPr>
        <w:rFonts w:ascii="Times New Roman" w:hAnsi="Times New Roman" w:cs="Times New Roman"/>
        <w:sz w:val="24"/>
        <w:szCs w:val="24"/>
      </w:rPr>
      <w:t>AND VALIDITY OF ASSESSING TBIs</w:t>
    </w:r>
    <w:r>
      <w:tab/>
    </w:r>
    <w:sdt>
      <w:sdtPr>
        <w:id w:val="10182014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73BC">
          <w:rPr>
            <w:noProof/>
          </w:rPr>
          <w:t>6</w:t>
        </w:r>
        <w:r>
          <w:rPr>
            <w:noProof/>
          </w:rPr>
          <w:fldChar w:fldCharType="end"/>
        </w:r>
      </w:sdtContent>
    </w:sdt>
  </w:p>
  <w:p w:rsidR="00CC264E" w:rsidRDefault="00064BE2" w:rsidP="00064BE2">
    <w:pPr>
      <w:pStyle w:val="Header"/>
      <w:tabs>
        <w:tab w:val="clear" w:pos="4680"/>
        <w:tab w:val="clear" w:pos="9360"/>
        <w:tab w:val="left" w:pos="526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B16" w:rsidRPr="00064BE2" w:rsidRDefault="00D10B16">
    <w:pPr>
      <w:pStyle w:val="Header"/>
      <w:rPr>
        <w:rFonts w:ascii="Times New Roman" w:hAnsi="Times New Roman" w:cs="Times New Roman"/>
        <w:sz w:val="24"/>
        <w:szCs w:val="24"/>
      </w:rPr>
    </w:pPr>
    <w:r w:rsidRPr="00064BE2">
      <w:rPr>
        <w:rFonts w:ascii="Times New Roman" w:hAnsi="Times New Roman" w:cs="Times New Roman"/>
        <w:sz w:val="24"/>
        <w:szCs w:val="24"/>
      </w:rPr>
      <w:t>Runni</w:t>
    </w:r>
    <w:r w:rsidR="00064BE2" w:rsidRPr="00064BE2">
      <w:rPr>
        <w:rFonts w:ascii="Times New Roman" w:hAnsi="Times New Roman" w:cs="Times New Roman"/>
        <w:sz w:val="24"/>
        <w:szCs w:val="24"/>
      </w:rPr>
      <w:t>ng head: THE RELIABILITY AND VALIDITY OF ASSESSING TBIs</w:t>
    </w:r>
    <w:r w:rsidR="00064BE2">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B2FE5"/>
    <w:multiLevelType w:val="hybridMultilevel"/>
    <w:tmpl w:val="2CC03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B76752"/>
    <w:multiLevelType w:val="hybridMultilevel"/>
    <w:tmpl w:val="253845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E40"/>
    <w:rsid w:val="00005B90"/>
    <w:rsid w:val="00064BE2"/>
    <w:rsid w:val="00066870"/>
    <w:rsid w:val="00071FE3"/>
    <w:rsid w:val="0008297F"/>
    <w:rsid w:val="0008325A"/>
    <w:rsid w:val="000A0DF6"/>
    <w:rsid w:val="000A6A2A"/>
    <w:rsid w:val="000E4367"/>
    <w:rsid w:val="000E5AFB"/>
    <w:rsid w:val="000E7ABF"/>
    <w:rsid w:val="001073BC"/>
    <w:rsid w:val="00155E8C"/>
    <w:rsid w:val="00163514"/>
    <w:rsid w:val="00170B85"/>
    <w:rsid w:val="001808FD"/>
    <w:rsid w:val="001A2529"/>
    <w:rsid w:val="001E1210"/>
    <w:rsid w:val="00207396"/>
    <w:rsid w:val="002306CD"/>
    <w:rsid w:val="00270A1A"/>
    <w:rsid w:val="002A05A8"/>
    <w:rsid w:val="00332A56"/>
    <w:rsid w:val="00340D48"/>
    <w:rsid w:val="003430A7"/>
    <w:rsid w:val="00376276"/>
    <w:rsid w:val="003A6711"/>
    <w:rsid w:val="003C349E"/>
    <w:rsid w:val="003F56CA"/>
    <w:rsid w:val="00424437"/>
    <w:rsid w:val="0047607B"/>
    <w:rsid w:val="004778F4"/>
    <w:rsid w:val="004E7966"/>
    <w:rsid w:val="005C3E40"/>
    <w:rsid w:val="00646E19"/>
    <w:rsid w:val="007462B4"/>
    <w:rsid w:val="007559E4"/>
    <w:rsid w:val="0077505B"/>
    <w:rsid w:val="007B7270"/>
    <w:rsid w:val="007F1FA9"/>
    <w:rsid w:val="008175C1"/>
    <w:rsid w:val="00832F37"/>
    <w:rsid w:val="00870565"/>
    <w:rsid w:val="008863B3"/>
    <w:rsid w:val="008C7ED2"/>
    <w:rsid w:val="00972363"/>
    <w:rsid w:val="009C3BE8"/>
    <w:rsid w:val="009D0553"/>
    <w:rsid w:val="009D1C2D"/>
    <w:rsid w:val="00A448BA"/>
    <w:rsid w:val="00AC44F4"/>
    <w:rsid w:val="00B563D0"/>
    <w:rsid w:val="00BF178F"/>
    <w:rsid w:val="00BF3D3A"/>
    <w:rsid w:val="00C216B6"/>
    <w:rsid w:val="00C81FD5"/>
    <w:rsid w:val="00CA7042"/>
    <w:rsid w:val="00CC264E"/>
    <w:rsid w:val="00CF6AEB"/>
    <w:rsid w:val="00D10B16"/>
    <w:rsid w:val="00D11EA6"/>
    <w:rsid w:val="00D16A95"/>
    <w:rsid w:val="00D47F1C"/>
    <w:rsid w:val="00D827A0"/>
    <w:rsid w:val="00D879E5"/>
    <w:rsid w:val="00DD55DA"/>
    <w:rsid w:val="00E7373C"/>
    <w:rsid w:val="00EA2F3F"/>
    <w:rsid w:val="00FF4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863B3"/>
    <w:rPr>
      <w:i/>
      <w:iCs/>
    </w:rPr>
  </w:style>
  <w:style w:type="paragraph" w:styleId="Header">
    <w:name w:val="header"/>
    <w:basedOn w:val="Normal"/>
    <w:link w:val="HeaderChar"/>
    <w:uiPriority w:val="99"/>
    <w:unhideWhenUsed/>
    <w:rsid w:val="00CC2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64E"/>
  </w:style>
  <w:style w:type="paragraph" w:styleId="Footer">
    <w:name w:val="footer"/>
    <w:basedOn w:val="Normal"/>
    <w:link w:val="FooterChar"/>
    <w:uiPriority w:val="99"/>
    <w:unhideWhenUsed/>
    <w:rsid w:val="00CC2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64E"/>
  </w:style>
  <w:style w:type="character" w:styleId="Hyperlink">
    <w:name w:val="Hyperlink"/>
    <w:basedOn w:val="DefaultParagraphFont"/>
    <w:uiPriority w:val="99"/>
    <w:unhideWhenUsed/>
    <w:rsid w:val="009D0553"/>
    <w:rPr>
      <w:color w:val="0000FF" w:themeColor="hyperlink"/>
      <w:u w:val="single"/>
    </w:rPr>
  </w:style>
  <w:style w:type="character" w:styleId="HTMLCite">
    <w:name w:val="HTML Cite"/>
    <w:basedOn w:val="DefaultParagraphFont"/>
    <w:uiPriority w:val="99"/>
    <w:semiHidden/>
    <w:unhideWhenUsed/>
    <w:rsid w:val="008175C1"/>
    <w:rPr>
      <w:i/>
      <w:iCs/>
    </w:rPr>
  </w:style>
  <w:style w:type="paragraph" w:styleId="ListParagraph">
    <w:name w:val="List Paragraph"/>
    <w:basedOn w:val="Normal"/>
    <w:uiPriority w:val="34"/>
    <w:qFormat/>
    <w:rsid w:val="00D11E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863B3"/>
    <w:rPr>
      <w:i/>
      <w:iCs/>
    </w:rPr>
  </w:style>
  <w:style w:type="paragraph" w:styleId="Header">
    <w:name w:val="header"/>
    <w:basedOn w:val="Normal"/>
    <w:link w:val="HeaderChar"/>
    <w:uiPriority w:val="99"/>
    <w:unhideWhenUsed/>
    <w:rsid w:val="00CC2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64E"/>
  </w:style>
  <w:style w:type="paragraph" w:styleId="Footer">
    <w:name w:val="footer"/>
    <w:basedOn w:val="Normal"/>
    <w:link w:val="FooterChar"/>
    <w:uiPriority w:val="99"/>
    <w:unhideWhenUsed/>
    <w:rsid w:val="00CC2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64E"/>
  </w:style>
  <w:style w:type="character" w:styleId="Hyperlink">
    <w:name w:val="Hyperlink"/>
    <w:basedOn w:val="DefaultParagraphFont"/>
    <w:uiPriority w:val="99"/>
    <w:unhideWhenUsed/>
    <w:rsid w:val="009D0553"/>
    <w:rPr>
      <w:color w:val="0000FF" w:themeColor="hyperlink"/>
      <w:u w:val="single"/>
    </w:rPr>
  </w:style>
  <w:style w:type="character" w:styleId="HTMLCite">
    <w:name w:val="HTML Cite"/>
    <w:basedOn w:val="DefaultParagraphFont"/>
    <w:uiPriority w:val="99"/>
    <w:semiHidden/>
    <w:unhideWhenUsed/>
    <w:rsid w:val="008175C1"/>
    <w:rPr>
      <w:i/>
      <w:iCs/>
    </w:rPr>
  </w:style>
  <w:style w:type="paragraph" w:styleId="ListParagraph">
    <w:name w:val="List Paragraph"/>
    <w:basedOn w:val="Normal"/>
    <w:uiPriority w:val="34"/>
    <w:qFormat/>
    <w:rsid w:val="00D11E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80521">
      <w:bodyDiv w:val="1"/>
      <w:marLeft w:val="0"/>
      <w:marRight w:val="0"/>
      <w:marTop w:val="0"/>
      <w:marBottom w:val="0"/>
      <w:divBdr>
        <w:top w:val="none" w:sz="0" w:space="0" w:color="auto"/>
        <w:left w:val="none" w:sz="0" w:space="0" w:color="auto"/>
        <w:bottom w:val="none" w:sz="0" w:space="0" w:color="auto"/>
        <w:right w:val="none" w:sz="0" w:space="0" w:color="auto"/>
      </w:divBdr>
      <w:divsChild>
        <w:div w:id="1833643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g/10.1176/appi.neuropsych.1610021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6</Pages>
  <Words>1081</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69</cp:revision>
  <dcterms:created xsi:type="dcterms:W3CDTF">2018-05-05T21:38:00Z</dcterms:created>
  <dcterms:modified xsi:type="dcterms:W3CDTF">2018-05-06T02:31:00Z</dcterms:modified>
</cp:coreProperties>
</file>